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0" w:before="0"/>
              <w:jc w:val="left"/>
            </w:pPr>
            <w:r>
              <w:drawing>
                <wp:inline distT="0" distB="0" distL="0" distR="0">
                  <wp:extent cx="876300" cy="876300"/>
                  <wp:effectExtent t="0" r="0" b="0" l="0"/>
                  <wp:docPr id="1" name="naked-grief-cover" descr="The Naked Grief podcast cover art" title="The Naked Grie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E1002D"/>
                <w:spacing w:val="40"/>
                <w:sz w:val="20"/>
                <w:szCs w:val="20"/>
              </w:rPr>
              <w:t xml:space="preserve">REAL EXTENDED AFTERCARE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595959"/>
                <w:sz w:val="28"/>
                <w:szCs w:val="28"/>
              </w:rPr>
              <w:t xml:space="preserve">The Naked Grief</w:t>
            </w:r>
            <w:r>
              <w:rPr>
                <w:rFonts w:ascii="Arial" w:cs="Arial" w:eastAsia="Arial" w:hAnsi="Arial"/>
                <w:color w:val="808080"/>
                <w:sz w:val="22"/>
                <w:szCs w:val="22"/>
              </w:rPr>
              <w:t xml:space="preserve">  ·  Camden, Delaware</w:t>
            </w:r>
          </w:p>
        </w:tc>
      </w:tr>
    </w:tbl>
    <w:p>
      <w:pPr>
        <w:pBdr>
          <w:bottom w:val="single" w:color="E1002D" w:sz="12" w:space="1"/>
        </w:pBdr>
        <w:spacing w:after="0" w:before="80"/>
      </w:pPr>
      <w:r>
        <w:rPr>
          <w:sz w:val="2"/>
          <w:szCs w:val="2"/>
        </w:rPr>
        <w:t xml:space="preserve"/>
      </w:r>
    </w:p>
    <w:p>
      <w:pPr>
        <w:spacing w:after="60" w:before="300"/>
        <w:jc w:val="center"/>
      </w:pPr>
      <w:r>
        <w:rPr>
          <w:rFonts w:ascii="Arial" w:cs="Arial" w:eastAsia="Arial" w:hAnsi="Arial"/>
          <w:b/>
          <w:bCs/>
          <w:color w:val="595959"/>
          <w:sz w:val="44"/>
          <w:szCs w:val="44"/>
        </w:rPr>
        <w:t xml:space="preserve">REACH Charter Partner Pricing</w:t>
      </w:r>
    </w:p>
    <w:p>
      <w:pPr>
        <w:spacing w:after="80" w:before="0"/>
        <w:jc w:val="center"/>
      </w:pPr>
      <w:r>
        <w:rPr>
          <w:rFonts w:ascii="Arial" w:cs="Arial" w:eastAsia="Arial" w:hAnsi="Arial"/>
          <w:i/>
          <w:iCs/>
          <w:color w:val="E1002D"/>
          <w:sz w:val="24"/>
          <w:szCs w:val="24"/>
        </w:rPr>
        <w:t xml:space="preserve">Introductory Charter Rate  ·  Locked for Life</w:t>
      </w:r>
    </w:p>
    <w:p>
      <w:pPr>
        <w:spacing w:after="300" w:before="0"/>
        <w:jc w:val="center"/>
      </w:pPr>
      <w:r>
        <w:rPr>
          <w:rFonts w:ascii="Arial" w:cs="Arial" w:eastAsia="Arial" w:hAnsi="Arial"/>
          <w:color w:val="808080"/>
          <w:spacing w:val="20"/>
          <w:sz w:val="18"/>
          <w:szCs w:val="18"/>
        </w:rPr>
        <w:t xml:space="preserve">REACH  ·  Real Extended Aftercare for Community Healing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1002D" w:color="auto" w:val="clear"/>
            <w:tcMar>
              <w:top w:type="dxa" w:w="120"/>
              <w:left w:type="dxa" w:w="220"/>
              <w:bottom w:type="dxa" w:w="12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SECTION 01  ·  THE CHARTER RATE</w:t>
            </w:r>
          </w:p>
        </w:tc>
      </w:tr>
    </w:tbl>
    <w:p>
      <w:pPr>
        <w:spacing w:after="160" w:before="0"/>
      </w:pPr>
      <w:r>
        <w:rPr>
          <w:sz w:val="8"/>
          <w:szCs w:val="8"/>
        </w:rPr>
        <w:t xml:space="preserve"/>
      </w:r>
    </w:p>
    <w:p>
      <w:pPr>
        <w:spacing w:after="140" w:before="0"/>
      </w:pPr>
      <w:r>
        <w:rPr>
          <w:rFonts w:ascii="Arial" w:cs="Arial" w:eastAsia="Arial" w:hAnsi="Arial"/>
          <w:b/>
          <w:bCs/>
          <w:color w:val="595959"/>
          <w:sz w:val="32"/>
          <w:szCs w:val="32"/>
        </w:rPr>
        <w:t xml:space="preserve">The REACH Charter Rate</w:t>
      </w:r>
    </w:p>
    <w:tbl>
      <w:tblPr>
        <w:tblW w:type="dxa" w:w="9360"/>
        <w:tblBorders>
          <w:top w:val="single" w:color="E1002D" w:sz="8"/>
          <w:left w:val="single" w:color="E1002D" w:sz="8"/>
          <w:bottom w:val="single" w:color="E1002D" w:sz="8"/>
          <w:right w:val="single" w:color="E1002D" w:sz="8"/>
          <w:insideH w:val="none" w:color="FFFFFF" w:sz="0"/>
          <w:insideV w:val="single" w:color="D9D9D9" w:sz="4"/>
        </w:tblBorders>
      </w:tblPr>
      <w:tblGrid>
        <w:gridCol w:w="5600"/>
        <w:gridCol w:w="3760"/>
      </w:tblGrid>
      <w:tr>
        <w:tc>
          <w:tcPr>
            <w:tcW w:type="dxa" w:w="5600"/>
            <w:shd w:fill="FBE5EA" w:color="auto" w:val="clear"/>
            <w:tcMar>
              <w:top w:type="dxa" w:w="200"/>
              <w:left w:type="dxa" w:w="300"/>
              <w:bottom w:type="dxa" w:w="200"/>
              <w:right w:type="dxa" w:w="2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E1002D"/>
                <w:sz w:val="72"/>
                <w:szCs w:val="72"/>
              </w:rPr>
              <w:t xml:space="preserve">$499</w:t>
            </w:r>
            <w:r>
              <w:rPr>
                <w:rFonts w:ascii="Arial" w:cs="Arial" w:eastAsia="Arial" w:hAnsi="Arial"/>
                <w:b/>
                <w:bCs/>
                <w:color w:val="595959"/>
                <w:sz w:val="22"/>
                <w:szCs w:val="22"/>
              </w:rPr>
              <w:t xml:space="preserve">   PER 45-DAY CYCLE</w:t>
            </w:r>
          </w:p>
        </w:tc>
        <w:tc>
          <w:tcPr>
            <w:tcW w:type="dxa" w:w="3760"/>
            <w:shd w:fill="E1002D" w:color="auto" w:val="clear"/>
            <w:tcMar>
              <w:top w:type="dxa" w:w="180"/>
              <w:left w:type="dxa" w:w="200"/>
              <w:bottom w:type="dxa" w:w="180"/>
              <w:right w:type="dxa" w:w="20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sz w:val="32"/>
                <w:szCs w:val="32"/>
              </w:rPr>
              <w:t xml:space="preserve">🔒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LOCKED-IN FOR LIFE</w:t>
            </w:r>
          </w:p>
        </w:tc>
      </w:tr>
    </w:tbl>
    <w:p>
      <w:pPr>
        <w:spacing w:after="60" w:before="180"/>
      </w:pPr>
      <w:r>
        <w:rPr>
          <w:rFonts w:ascii="Arial" w:cs="Arial" w:eastAsia="Arial" w:hAnsi="Arial"/>
          <w:color w:val="595959"/>
          <w:sz w:val="22"/>
          <w:szCs w:val="22"/>
        </w:rPr>
        <w:t xml:space="preserve">Introductory rate for Charter Partners only. Locked-in for the life of the partnership. Public rate moves to $999 on January 1st.</w:t>
      </w:r>
    </w:p>
    <w:p>
      <w:pPr>
        <w:pBdr>
          <w:bottom w:val="single" w:color="3EA6FF" w:sz="6" w:space="4"/>
        </w:pBdr>
        <w:spacing w:after="140" w:before="260"/>
      </w:pPr>
      <w:r>
        <w:rPr>
          <w:rFonts w:ascii="Arial" w:cs="Arial" w:eastAsia="Arial" w:hAnsi="Arial"/>
          <w:b/>
          <w:bCs/>
          <w:color w:val="595959"/>
          <w:spacing w:val="20"/>
          <w:sz w:val="24"/>
          <w:szCs w:val="24"/>
        </w:rPr>
        <w:t xml:space="preserve">EACH CYCLE INCLUDES</w:t>
      </w:r>
    </w:p>
    <w:tbl>
      <w:tblPr>
        <w:tblW w:type="dxa" w:w="9360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single" w:color="D9D9D9" w:sz="4"/>
          <w:insideV w:val="single" w:color="D9D9D9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60"/>
              <w:left w:type="dxa" w:w="200"/>
              <w:bottom w:type="dxa" w:w="160"/>
              <w:right w:type="dxa" w:w="200"/>
            </w:tcMar>
            <w:vAlign w:val="center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E1002D"/>
                <w:sz w:val="22"/>
                <w:szCs w:val="22"/>
              </w:rPr>
              <w:t xml:space="preserve">30 Arrangement Folder Inserts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808080"/>
                <w:sz w:val="20"/>
                <w:szCs w:val="20"/>
              </w:rPr>
              <w:t xml:space="preserve">High-quality grayscale</w:t>
            </w:r>
          </w:p>
        </w:tc>
        <w:tc>
          <w:tcPr>
            <w:tcW w:type="dxa" w:w="468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FFFFF" w:color="auto" w:val="clear"/>
            <w:tcMar>
              <w:top w:type="dxa" w:w="160"/>
              <w:left w:type="dxa" w:w="200"/>
              <w:bottom w:type="dxa" w:w="160"/>
              <w:right w:type="dxa" w:w="200"/>
            </w:tcMar>
            <w:vAlign w:val="center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E1002D"/>
                <w:sz w:val="22"/>
                <w:szCs w:val="22"/>
              </w:rPr>
              <w:t xml:space="preserve">300 REACH Care Cards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808080"/>
                <w:sz w:val="20"/>
                <w:szCs w:val="20"/>
              </w:rPr>
              <w:t xml:space="preserve">Plain Naked Grief care cards</w:t>
            </w:r>
          </w:p>
        </w:tc>
      </w:tr>
      <w:tr>
        <w:tc>
          <w:tcPr>
            <w:tcW w:type="dxa" w:w="468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60"/>
              <w:left w:type="dxa" w:w="200"/>
              <w:bottom w:type="dxa" w:w="160"/>
              <w:right w:type="dxa" w:w="200"/>
            </w:tcMar>
            <w:vAlign w:val="center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E1002D"/>
                <w:sz w:val="22"/>
                <w:szCs w:val="22"/>
              </w:rPr>
              <w:t xml:space="preserve">Unlimited Digital Access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808080"/>
                <w:sz w:val="20"/>
                <w:szCs w:val="20"/>
              </w:rPr>
              <w:t xml:space="preserve">For families</w:t>
            </w:r>
          </w:p>
        </w:tc>
        <w:tc>
          <w:tcPr>
            <w:tcW w:type="dxa" w:w="468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FFFFF" w:color="auto" w:val="clear"/>
            <w:tcMar>
              <w:top w:type="dxa" w:w="160"/>
              <w:left w:type="dxa" w:w="200"/>
              <w:bottom w:type="dxa" w:w="160"/>
              <w:right w:type="dxa" w:w="200"/>
            </w:tcMar>
            <w:vAlign w:val="center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E1002D"/>
                <w:sz w:val="22"/>
                <w:szCs w:val="22"/>
              </w:rPr>
              <w:t xml:space="preserve">Personalized Partner Portal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808080"/>
                <w:sz w:val="20"/>
                <w:szCs w:val="20"/>
              </w:rPr>
              <w:t xml:space="preserve">Real-time scan tracking</w:t>
            </w:r>
          </w:p>
        </w:tc>
      </w:tr>
      <w:tr>
        <w:tc>
          <w:tcPr>
            <w:tcW w:type="dxa" w:w="468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60"/>
              <w:left w:type="dxa" w:w="200"/>
              <w:bottom w:type="dxa" w:w="160"/>
              <w:right w:type="dxa" w:w="200"/>
            </w:tcMar>
            <w:vAlign w:val="center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E1002D"/>
                <w:sz w:val="22"/>
                <w:szCs w:val="22"/>
              </w:rPr>
              <w:t xml:space="preserve">REACH Template Library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808080"/>
                <w:sz w:val="20"/>
                <w:szCs w:val="20"/>
              </w:rPr>
              <w:t xml:space="preserve">12 weeks of dripped content</w:t>
            </w:r>
          </w:p>
        </w:tc>
        <w:tc>
          <w:tcPr>
            <w:tcW w:type="dxa" w:w="468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FFFFF" w:color="auto" w:val="clear"/>
            <w:tcMar>
              <w:top w:type="dxa" w:w="160"/>
              <w:left w:type="dxa" w:w="200"/>
              <w:bottom w:type="dxa" w:w="160"/>
              <w:right w:type="dxa" w:w="200"/>
            </w:tcMar>
            <w:vAlign w:val="center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E1002D"/>
                <w:sz w:val="22"/>
                <w:szCs w:val="22"/>
              </w:rPr>
              <w:t xml:space="preserve">Bi-Weekly Partner Support Calls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808080"/>
                <w:sz w:val="20"/>
                <w:szCs w:val="20"/>
              </w:rPr>
              <w:t xml:space="preserve">Direct guidance from Karen</w:t>
            </w:r>
          </w:p>
        </w:tc>
      </w:tr>
    </w:tbl>
    <w:p>
      <w:r>
        <w:br w:type="pag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1002D" w:color="auto" w:val="clear"/>
            <w:tcMar>
              <w:top w:type="dxa" w:w="120"/>
              <w:left w:type="dxa" w:w="220"/>
              <w:bottom w:type="dxa" w:w="120"/>
              <w:right w:type="dxa" w:w="22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SECTION 02  ·  OPTIONAL ADD-ON</w:t>
            </w:r>
          </w:p>
        </w:tc>
      </w:tr>
    </w:tbl>
    <w:p>
      <w:pPr>
        <w:spacing w:after="160" w:before="0"/>
      </w:pPr>
      <w:r>
        <w:rPr>
          <w:sz w:val="8"/>
          <w:szCs w:val="8"/>
        </w:rPr>
        <w:t xml:space="preserve"/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595959"/>
          <w:sz w:val="32"/>
          <w:szCs w:val="32"/>
        </w:rPr>
        <w:t xml:space="preserve">The Bracing 13 Workbook</w:t>
      </w:r>
    </w:p>
    <w:p>
      <w:pPr>
        <w:spacing w:after="200" w:before="0"/>
      </w:pPr>
      <w:r>
        <w:rPr>
          <w:rFonts w:ascii="Arial" w:cs="Arial" w:eastAsia="Arial" w:hAnsi="Arial"/>
          <w:i/>
          <w:iCs/>
          <w:color w:val="E1002D"/>
          <w:sz w:val="24"/>
          <w:szCs w:val="24"/>
        </w:rPr>
        <w:t xml:space="preserve">“A 13-month, 313-page physical companion for the healing journey.”</w:t>
      </w:r>
    </w:p>
    <w:tbl>
      <w:tblPr>
        <w:tblW w:type="dxa" w:w="9360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single" w:color="D9D9D9" w:sz="4"/>
          <w:insideV w:val="single" w:color="D9D9D9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808080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OPTION A  ·  RETAIL</w:t>
            </w:r>
          </w:p>
        </w:tc>
        <w:tc>
          <w:tcPr>
            <w:tcW w:type="dxa" w:w="468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E1002D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OPTION B  ·  PARTNER RATE</w:t>
            </w:r>
          </w:p>
        </w:tc>
      </w:tr>
      <w:tr>
        <w:tc>
          <w:tcPr>
            <w:tcW w:type="dxa" w:w="468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200"/>
              <w:bottom w:type="dxa" w:w="160"/>
              <w:right w:type="dxa" w:w="200"/>
            </w:tcMar>
            <w:vAlign w:val="top"/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b/>
                <w:bCs/>
                <w:color w:val="808080"/>
                <w:spacing w:val="10"/>
                <w:sz w:val="20"/>
                <w:szCs w:val="20"/>
              </w:rPr>
              <w:t xml:space="preserve">Amazon Marketplace  </w:t>
            </w:r>
            <w:r>
              <w:rPr>
                <w:rFonts w:ascii="Arial" w:cs="Arial" w:eastAsia="Arial" w:hAnsi="Arial"/>
                <w:color w:val="595959"/>
                <w:sz w:val="20"/>
                <w:szCs w:val="20"/>
              </w:rPr>
              <w:t xml:space="preserve"/>
            </w:r>
          </w:p>
          <w:p>
            <w:pPr>
              <w:spacing w:after="60" w:before="60"/>
            </w:pPr>
            <w:r>
              <w:rPr>
                <w:rFonts w:ascii="Arial" w:cs="Arial" w:eastAsia="Arial" w:hAnsi="Arial"/>
                <w:b/>
                <w:bCs/>
                <w:color w:val="808080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Arial" w:cs="Arial" w:eastAsia="Arial" w:hAnsi="Arial"/>
                <w:color w:val="595959"/>
                <w:sz w:val="20"/>
                <w:szCs w:val="20"/>
              </w:rPr>
              <w:t xml:space="preserve">Direct partner bulk order available below.</w:t>
            </w:r>
          </w:p>
        </w:tc>
        <w:tc>
          <w:tcPr>
            <w:tcW w:type="dxa" w:w="468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200"/>
              <w:bottom w:type="dxa" w:w="160"/>
              <w:right w:type="dxa" w:w="200"/>
            </w:tcMar>
            <w:vAlign w:val="top"/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b/>
                <w:bCs/>
                <w:color w:val="808080"/>
                <w:spacing w:val="10"/>
                <w:sz w:val="20"/>
                <w:szCs w:val="20"/>
              </w:rPr>
              <w:t xml:space="preserve">Direct Partner Bulk Order  </w:t>
            </w:r>
            <w:r>
              <w:rPr>
                <w:rFonts w:ascii="Arial" w:cs="Arial" w:eastAsia="Arial" w:hAnsi="Arial"/>
                <w:color w:val="595959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2F2F2" w:color="auto" w:val="clear"/>
            <w:tcMar>
              <w:top w:type="dxa" w:w="160"/>
              <w:left w:type="dxa" w:w="200"/>
              <w:bottom w:type="dxa" w:w="160"/>
              <w:right w:type="dxa" w:w="200"/>
            </w:tcMar>
            <w:vAlign w:val="center"/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b/>
                <w:bCs/>
                <w:color w:val="808080"/>
                <w:spacing w:val="10"/>
                <w:sz w:val="20"/>
                <w:szCs w:val="20"/>
              </w:rPr>
              <w:t xml:space="preserve">PRICE  </w:t>
            </w:r>
            <w:r>
              <w:rPr>
                <w:rFonts w:ascii="Arial" w:cs="Arial" w:eastAsia="Arial" w:hAnsi="Arial"/>
                <w:b/>
                <w:bCs/>
                <w:color w:val="E1002D"/>
                <w:sz w:val="28"/>
                <w:szCs w:val="28"/>
              </w:rPr>
              <w:t xml:space="preserve">$64.95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808080"/>
                <w:sz w:val="18"/>
                <w:szCs w:val="18"/>
              </w:rPr>
              <w:t xml:space="preserve">per workbook  ·  retail</w:t>
            </w:r>
          </w:p>
        </w:tc>
        <w:tc>
          <w:tcPr>
            <w:tcW w:type="dxa" w:w="468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BE5EA" w:color="auto" w:val="clear"/>
            <w:tcMar>
              <w:top w:type="dxa" w:w="160"/>
              <w:left w:type="dxa" w:w="200"/>
              <w:bottom w:type="dxa" w:w="160"/>
              <w:right w:type="dxa" w:w="200"/>
            </w:tcMar>
            <w:vAlign w:val="center"/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b/>
                <w:bCs/>
                <w:color w:val="808080"/>
                <w:spacing w:val="10"/>
                <w:sz w:val="20"/>
                <w:szCs w:val="20"/>
              </w:rPr>
              <w:t xml:space="preserve">PRICE  </w:t>
            </w:r>
            <w:r>
              <w:rPr>
                <w:rFonts w:ascii="Arial" w:cs="Arial" w:eastAsia="Arial" w:hAnsi="Arial"/>
                <w:b/>
                <w:bCs/>
                <w:color w:val="E1002D"/>
                <w:sz w:val="28"/>
                <w:szCs w:val="28"/>
              </w:rPr>
              <w:t xml:space="preserve">$56.50</w:t>
            </w:r>
          </w:p>
          <w:p>
            <w:pPr>
              <w:spacing w:after="40" w:before="40"/>
            </w:pPr>
            <w:r>
              <w:rPr>
                <w:rFonts w:ascii="Arial" w:cs="Arial" w:eastAsia="Arial" w:hAnsi="Arial"/>
                <w:color w:val="808080"/>
                <w:sz w:val="18"/>
                <w:szCs w:val="18"/>
              </w:rPr>
              <w:t xml:space="preserve">per workbook  ·  13% discount</w:t>
            </w:r>
          </w:p>
        </w:tc>
      </w:tr>
      <w:tr>
        <w:tc>
          <w:tcPr>
            <w:tcW w:type="dxa" w:w="468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200"/>
              <w:bottom w:type="dxa" w:w="160"/>
              <w:right w:type="dxa" w:w="200"/>
            </w:tcMar>
            <w:vAlign w:val="top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3EA6FF"/>
                <w:spacing w:val="10"/>
                <w:sz w:val="18"/>
                <w:szCs w:val="18"/>
              </w:rPr>
              <w:t xml:space="preserve">BEST FOR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595959"/>
                <w:sz w:val="20"/>
                <w:szCs w:val="20"/>
              </w:rPr>
              <w:t xml:space="preserve">Immediate individual family needs.</w:t>
            </w:r>
          </w:p>
        </w:tc>
        <w:tc>
          <w:tcPr>
            <w:tcW w:type="dxa" w:w="468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tcMar>
              <w:top w:type="dxa" w:w="160"/>
              <w:left w:type="dxa" w:w="200"/>
              <w:bottom w:type="dxa" w:w="160"/>
              <w:right w:type="dxa" w:w="200"/>
            </w:tcMar>
            <w:vAlign w:val="top"/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3EA6FF"/>
                <w:spacing w:val="10"/>
                <w:sz w:val="18"/>
                <w:szCs w:val="18"/>
              </w:rPr>
              <w:t xml:space="preserve">SAVINGS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595959"/>
                <w:sz w:val="20"/>
                <w:szCs w:val="20"/>
              </w:rPr>
              <w:t xml:space="preserve">Professional partner rate.</w:t>
            </w:r>
          </w:p>
          <w:p>
            <w:pPr>
              <w:spacing w:after="0" w:before="80"/>
            </w:pPr>
            <w:r>
              <w:rPr>
                <w:rFonts w:ascii="Arial" w:cs="Arial" w:eastAsia="Arial" w:hAnsi="Arial"/>
                <w:i/>
                <w:iCs/>
                <w:color w:val="808080"/>
                <w:sz w:val="18"/>
                <w:szCs w:val="18"/>
              </w:rPr>
              <w:t xml:space="preserve">Please allow 14–20 days for delivery. Direct orders are processed through the Partner Portal.</w:t>
            </w:r>
          </w:p>
        </w:tc>
      </w:tr>
    </w:tbl>
    <w:p>
      <w:pPr>
        <w:spacing w:after="300" w:before="0"/>
      </w:pPr>
      <w:r>
        <w:rPr>
          <w:sz w:val="8"/>
          <w:szCs w:val="8"/>
        </w:rPr>
        <w:t xml:space="preserve"/>
      </w:r>
    </w:p>
    <w:p>
      <w:pPr>
        <w:pBdr>
          <w:bottom w:val="single" w:color="3EA6FF" w:sz="6" w:space="4"/>
        </w:pBdr>
        <w:spacing w:after="140" w:before="0"/>
      </w:pPr>
      <w:r>
        <w:rPr>
          <w:rFonts w:ascii="Arial" w:cs="Arial" w:eastAsia="Arial" w:hAnsi="Arial"/>
          <w:b/>
          <w:bCs/>
          <w:color w:val="595959"/>
          <w:spacing w:val="20"/>
          <w:sz w:val="24"/>
          <w:szCs w:val="24"/>
        </w:rPr>
        <w:t xml:space="preserve">TERMS &amp; CONDITIONS</w:t>
      </w:r>
    </w:p>
    <w:p>
      <w:pPr>
        <w:spacing w:after="40" w:before="40"/>
        <w:ind w:left="360" w:hanging="360"/>
      </w:pPr>
      <w:r>
        <w:rPr>
          <w:rFonts w:ascii="Arial" w:cs="Arial" w:eastAsia="Arial" w:hAnsi="Arial"/>
          <w:b/>
          <w:bCs/>
          <w:color w:val="E1002D"/>
          <w:sz w:val="22"/>
          <w:szCs w:val="22"/>
        </w:rPr>
        <w:t xml:space="preserve">▪  </w:t>
      </w:r>
      <w:r>
        <w:rPr>
          <w:rFonts w:ascii="Arial" w:cs="Arial" w:eastAsia="Arial" w:hAnsi="Arial"/>
          <w:color w:val="595959"/>
          <w:sz w:val="22"/>
          <w:szCs w:val="22"/>
        </w:rPr>
        <w:t xml:space="preserve">Each cycle lasts 45 days.</w:t>
      </w:r>
    </w:p>
    <w:p>
      <w:pPr>
        <w:spacing w:after="40" w:before="40"/>
        <w:ind w:left="360" w:hanging="360"/>
      </w:pPr>
      <w:r>
        <w:rPr>
          <w:rFonts w:ascii="Arial" w:cs="Arial" w:eastAsia="Arial" w:hAnsi="Arial"/>
          <w:b/>
          <w:bCs/>
          <w:color w:val="E1002D"/>
          <w:sz w:val="22"/>
          <w:szCs w:val="22"/>
        </w:rPr>
        <w:t xml:space="preserve">▪  </w:t>
      </w:r>
      <w:r>
        <w:rPr>
          <w:rFonts w:ascii="Arial" w:cs="Arial" w:eastAsia="Arial" w:hAnsi="Arial"/>
          <w:color w:val="595959"/>
          <w:sz w:val="22"/>
          <w:szCs w:val="22"/>
        </w:rPr>
        <w:t xml:space="preserve">Additional cards or inserts can be ordered via the Portal.</w:t>
      </w:r>
    </w:p>
    <w:p>
      <w:pPr>
        <w:spacing w:after="40" w:before="40"/>
        <w:ind w:left="360" w:hanging="360"/>
      </w:pPr>
      <w:r>
        <w:rPr>
          <w:rFonts w:ascii="Arial" w:cs="Arial" w:eastAsia="Arial" w:hAnsi="Arial"/>
          <w:b/>
          <w:bCs/>
          <w:color w:val="E1002D"/>
          <w:sz w:val="22"/>
          <w:szCs w:val="22"/>
        </w:rPr>
        <w:t xml:space="preserve">▪  </w:t>
      </w:r>
      <w:r>
        <w:rPr>
          <w:rFonts w:ascii="Arial" w:cs="Arial" w:eastAsia="Arial" w:hAnsi="Arial"/>
          <w:color w:val="595959"/>
          <w:sz w:val="22"/>
          <w:szCs w:val="22"/>
        </w:rPr>
        <w:t xml:space="preserve">Charter rate remains valid as long as partnership is active.</w:t>
      </w:r>
    </w:p>
    <w:p>
      <w:pPr>
        <w:pBdr>
          <w:top w:val="single" w:color="D9D9D9" w:sz="6" w:space="6"/>
        </w:pBdr>
        <w:spacing w:after="0" w:before="240"/>
        <w:jc w:val="center"/>
      </w:pPr>
      <w:r>
        <w:rPr>
          <w:rFonts w:ascii="Arial" w:cs="Arial" w:eastAsia="Arial" w:hAnsi="Arial"/>
          <w:b/>
          <w:bCs/>
          <w:color w:val="595959"/>
          <w:sz w:val="20"/>
          <w:szCs w:val="20"/>
        </w:rPr>
        <w:t xml:space="preserve">The Naked Grief, LLC  ·  </w:t>
      </w:r>
      <w:r>
        <w:rPr>
          <w:rFonts w:ascii="Arial" w:cs="Arial" w:eastAsia="Arial" w:hAnsi="Arial"/>
          <w:b/>
          <w:bCs/>
          <w:color w:val="3EA6FF"/>
          <w:sz w:val="20"/>
          <w:szCs w:val="20"/>
        </w:rPr>
        <w:t xml:space="preserve">info@thenakedgrief.com</w:t>
      </w:r>
      <w:r>
        <w:rPr>
          <w:rFonts w:ascii="Arial" w:cs="Arial" w:eastAsia="Arial" w:hAnsi="Arial"/>
          <w:color w:val="595959"/>
          <w:sz w:val="20"/>
          <w:szCs w:val="20"/>
        </w:rPr>
        <w:t xml:space="preserve">  ·  Camden, Delaware</w:t>
      </w:r>
    </w:p>
    <w:p>
      <w:pPr>
        <w:spacing w:after="0" w:before="40"/>
        <w:jc w:val="center"/>
      </w:pPr>
      <w:r>
        <w:rPr>
          <w:rFonts w:ascii="Arial" w:cs="Arial" w:eastAsia="Arial" w:hAnsi="Arial"/>
          <w:b/>
          <w:bCs/>
          <w:color w:val="E1002D"/>
          <w:spacing w:val="40"/>
          <w:sz w:val="18"/>
          <w:szCs w:val="18"/>
        </w:rPr>
        <w:t xml:space="preserve">CHARTER PARTNERS ONLY</w:t>
      </w:r>
    </w:p>
    <w:sectPr>
      <w:headerReference w:type="default" r:id="rId7"/>
      <w:footerReference w:type="default" r:id="rId8"/>
      <w:pgSz w:w="12240" w:h="15840" w:orient="portrait"/>
      <w:pgMar w:top="1080" w:right="1080" w:bottom="1080" w:left="1080" w:header="432" w:footer="432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D9D9" w:sz="4" w:space="4"/>
      </w:pBdr>
      <w:tabs>
        <w:tab w:val="right" w:pos="9026"/>
      </w:tabs>
    </w:pPr>
    <w:r>
      <w:rPr>
        <w:rFonts w:ascii="Arial" w:cs="Arial" w:eastAsia="Arial" w:hAnsi="Arial"/>
        <w:color w:val="808080"/>
        <w:sz w:val="16"/>
        <w:szCs w:val="16"/>
      </w:rPr>
      <w:t xml:space="preserve">REACH  ·  Real Extended Aftercare for Community Healing</w:t>
    </w:r>
    <w:r>
      <w:rPr>
        <w:rFonts w:ascii="Arial" w:cs="Arial" w:eastAsia="Arial" w:hAnsi="Arial"/>
        <w:color w:val="808080"/>
        <w:sz w:val="16"/>
        <w:szCs w:val="16"/>
      </w:rPr>
      <w:t xml:space="preserve">	Page </w:t>
    </w:r>
    <w:r>
      <w:rPr>
        <w:rFonts w:ascii="Arial" w:cs="Arial" w:eastAsia="Arial" w:hAnsi="Arial"/>
        <w:color w:val="8080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808080"/>
        <w:sz w:val="16"/>
        <w:szCs w:val="16"/>
      </w:rPr>
      <w:t xml:space="preserve"> of </w:t>
    </w:r>
    <w:r>
      <w:rPr>
        <w:rFonts w:ascii="Arial" w:cs="Arial" w:eastAsia="Arial" w:hAnsi="Arial"/>
        <w:color w:val="808080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9D9D9" w:sz="4" w:space="4"/>
      </w:pBdr>
      <w:tabs>
        <w:tab w:val="right" w:pos="9026"/>
      </w:tabs>
    </w:pPr>
    <w:r>
      <w:rPr>
        <w:rFonts w:ascii="Arial" w:cs="Arial" w:eastAsia="Arial" w:hAnsi="Arial"/>
        <w:b/>
        <w:bCs/>
        <w:color w:val="E1002D"/>
        <w:sz w:val="18"/>
        <w:szCs w:val="18"/>
      </w:rPr>
      <w:t xml:space="preserve">The Naked Grief</w:t>
    </w:r>
    <w:r>
      <w:rPr>
        <w:rFonts w:ascii="Arial" w:cs="Arial" w:eastAsia="Arial" w:hAnsi="Arial"/>
        <w:color w:val="808080"/>
        <w:sz w:val="18"/>
        <w:szCs w:val="18"/>
      </w:rPr>
      <w:t xml:space="preserve">  ·  REACH Charter Partner Pricing</w:t>
    </w:r>
    <w:r>
      <w:rPr>
        <w:rFonts w:ascii="Arial" w:cs="Arial" w:eastAsia="Arial" w:hAnsi="Arial"/>
        <w:color w:val="808080"/>
        <w:spacing w:val="20"/>
        <w:sz w:val="16"/>
        <w:szCs w:val="16"/>
      </w:rPr>
      <w:t xml:space="preserve">	REAL EXTENDED AFTERCARE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595959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3458d00a473b5cec4994f09633830a1e679b4406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2026-07-16T10:07:22.191Z</dcterms:created>
  <dcterms:modified xsi:type="dcterms:W3CDTF">2026-07-16T10:07:22.192Z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