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11340"/>
      </w:tblGrid>
      <w:tr>
        <w:trPr>
          <w:cantSplit/>
          <w:trHeight w:val="1280" w:hRule="atLeast"/>
        </w:trP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0000" w:val="clear"/>
            <w:tcMar>
              <w:top w:type="dxa" w:w="140"/>
              <w:left w:type="dxa" w:w="170"/>
              <w:bottom w:type="dxa" w:w="120"/>
              <w:right w:type="dxa" w:w="170"/>
            </w:tcMar>
            <w:vAlign w:val="center"/>
          </w:tcPr>
          <w:p>
            <w:pPr>
              <w:spacing w:after="0" w:before="0" w:line="180"/>
              <w:jc w:val="left"/>
            </w:pPr>
            <w:r>
              <w:drawing>
                <wp:inline distT="0" distB="0" distL="0" distR="0">
                  <wp:extent cx="1257300" cy="638175"/>
                  <wp:effectExtent t="0" r="0" b="0" l="0"/>
                  <wp:docPr id="1" name="The Naked Grief logo" descr="The Naked Grief brand logo" title="The Naked Grie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0000" w:val="clear"/>
            <w:tcMar>
              <w:top w:type="dxa" w:w="130"/>
              <w:left w:type="dxa" w:w="180"/>
              <w:bottom w:type="dxa" w:w="120"/>
              <w:right w:type="dxa" w:w="180"/>
            </w:tcMar>
            <w:vAlign w:val="center"/>
          </w:tcPr>
          <w:p>
            <w:pPr>
              <w:spacing w:after="0" w:before="0" w:line="250"/>
            </w:pPr>
            <w:r>
              <w:rPr>
                <w:rFonts w:ascii="Avenir" w:cs="Avenir" w:eastAsia="Avenir" w:hAnsi="Avenir"/>
                <w:b/>
                <w:bCs/>
                <w:i w:val="false"/>
                <w:iCs w:val="false"/>
                <w:color w:val="FFFFFF"/>
                <w:sz w:val="42"/>
                <w:szCs w:val="42"/>
              </w:rPr>
              <w:t xml:space="preserve">REACH</w:t>
            </w:r>
          </w:p>
          <w:p>
            <w:pPr>
              <w:spacing w:after="0" w:before="0" w:line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A1B1B"/>
                <w:sz w:val="17"/>
                <w:szCs w:val="17"/>
              </w:rPr>
              <w:t xml:space="preserve">PARTNERSHIP PRICING SHEET</w:t>
            </w:r>
          </w:p>
        </w:tc>
      </w:tr>
    </w:tbl>
    <w:p>
      <w:pPr>
        <w:spacing w:after="85" w:before="0" w:line="1"/>
      </w:pPr>
    </w:p>
    <w:tbl>
      <w:tblPr>
        <w:tblW w:type="dxa" w:w="14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340"/>
        <w:gridCol w:w="4500"/>
      </w:tblGrid>
      <w:tr>
        <w:trPr>
          <w:cantSplit/>
        </w:trPr>
        <w:tc>
          <w:tcPr>
            <w:tcW w:type="dxa" w:w="10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6F6" w:val="clear"/>
            <w:tcMar>
              <w:top w:type="dxa" w:w="170"/>
              <w:left w:type="dxa" w:w="180"/>
              <w:bottom w:type="dxa" w:w="170"/>
              <w:right w:type="dxa" w:w="180"/>
            </w:tcMar>
            <w:vAlign w:val="top"/>
          </w:tcPr>
          <w:p>
            <w:pPr>
              <w:spacing w:after="70" w:before="0" w:line="230"/>
            </w:pPr>
            <w:r>
              <w:rPr>
                <w:rFonts w:ascii="Avenir" w:cs="Avenir" w:eastAsia="Avenir" w:hAnsi="Avenir"/>
                <w:b/>
                <w:bCs/>
                <w:i w:val="false"/>
                <w:iCs w:val="false"/>
                <w:color w:val="281A39"/>
                <w:sz w:val="25"/>
                <w:szCs w:val="25"/>
              </w:rPr>
              <w:t xml:space="preserve">REACH is how we close that gap.</w:t>
            </w:r>
          </w:p>
          <w:p>
            <w:pPr>
              <w:spacing w:after="0" w:before="0" w:line="22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 practical aftercare connection for funeral homes that want families to have somewhere to land after the service.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E9F0" w:val="clear"/>
            <w:tcMar>
              <w:top w:type="dxa" w:w="170"/>
              <w:left w:type="dxa" w:w="180"/>
              <w:bottom w:type="dxa" w:w="170"/>
              <w:right w:type="dxa" w:w="180"/>
            </w:tcMar>
            <w:vAlign w:val="top"/>
          </w:tcPr>
          <w:p>
            <w:pPr>
              <w:spacing w:after="70" w:before="0" w:line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A1B1B"/>
                <w:sz w:val="16"/>
                <w:szCs w:val="16"/>
              </w:rPr>
              <w:t xml:space="preserve">BUILT FOR THE PARTNER TEAM</w:t>
            </w:r>
          </w:p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Clear access, useful tools, and support that can be explained in a partner agreement.</w:t>
            </w:r>
          </w:p>
        </w:tc>
      </w:tr>
    </w:tbl>
    <w:p>
      <w:pPr>
        <w:spacing w:after="95" w:before="0" w:line="1"/>
      </w:pPr>
    </w:p>
    <w:tbl>
      <w:tblPr>
        <w:tblW w:type="dxa" w:w="14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46"/>
        <w:gridCol w:w="4946"/>
        <w:gridCol w:w="4948"/>
      </w:tblGrid>
      <w:tr>
        <w:trPr>
          <w:cantSplit/>
        </w:trPr>
        <w:tc>
          <w:tcPr>
            <w:tcW w:type="dxa" w:w="4946"/>
            <w:tcBorders>
              <w:top w:val="single" w:color="D9D5DE" w:sz="8"/>
              <w:left w:val="single" w:color="D9D5DE" w:sz="8"/>
              <w:bottom w:val="single" w:color="D9D5DE" w:sz="8"/>
              <w:right w:val="single" w:color="D9D5DE" w:sz="8"/>
            </w:tcBorders>
            <w:shd w:fill="FFFFFF" w:val="clear"/>
            <w:tcMar>
              <w:top w:type="dxa" w:w="0"/>
              <w:left w:type="dxa" w:w="170"/>
              <w:bottom w:type="dxa" w:w="150"/>
              <w:right w:type="dxa" w:w="170"/>
            </w:tcMar>
            <w:vAlign w:val="top"/>
          </w:tcPr>
          <w:tbl>
            <w:tblPr>
              <w:tblW w:type="dxa" w:w="45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6"/>
            </w:tblGrid>
            <w:tr>
              <w:trPr>
                <w:cantSplit/>
              </w:trPr>
              <w:tc>
                <w:tcPr>
                  <w:tcW w:type="dxa" w:w="45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00000" w:val="clear"/>
                  <w:tcMar>
                    <w:top w:type="dxa" w:w="90"/>
                    <w:left w:type="dxa" w:w="150"/>
                    <w:bottom w:type="dxa" w:w="90"/>
                    <w:right w:type="dxa" w:w="150"/>
                  </w:tcMar>
                  <w:vAlign w:val="top"/>
                </w:tcPr>
                <w:p>
                  <w:pPr>
                    <w:shd w:fill="000000" w:val="clear"/>
                    <w:spacing w:after="0" w:before="0" w:line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FFFFFF"/>
                      <w:sz w:val="15"/>
                      <w:szCs w:val="15"/>
                    </w:rPr>
                    <w:t xml:space="preserve">PARTNERSHIP TIER</w:t>
                  </w:r>
                </w:p>
              </w:tc>
            </w:tr>
          </w:tbl>
          <w:p>
            <w:pPr>
              <w:keepNext/>
              <w:spacing w:after="100" w:before="0" w:line="235"/>
            </w:pPr>
            <w:r>
              <w:rPr>
                <w:rFonts w:ascii="Avenir" w:cs="Avenir" w:eastAsia="Avenir" w:hAnsi="Avenir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 xml:space="preserve">REACH Basic Community Connection</w:t>
            </w:r>
          </w:p>
          <w:p>
            <w:pPr>
              <w:keepNext/>
              <w:spacing w:after="110" w:before="0" w:line="220"/>
            </w:pPr>
            <w:r>
              <w:rPr>
                <w:rFonts w:ascii="Avenir" w:cs="Avenir" w:eastAsia="Avenir" w:hAnsi="Avenir"/>
                <w:b/>
                <w:bCs/>
                <w:i w:val="false"/>
                <w:iCs w:val="false"/>
                <w:color w:val="DA1B1B"/>
                <w:sz w:val="38"/>
                <w:szCs w:val="38"/>
              </w:rPr>
              <w:t xml:space="preserve">$0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C5862"/>
                <w:sz w:val="17"/>
                <w:szCs w:val="17"/>
              </w:rPr>
              <w:t xml:space="preserve">/ mo</w:t>
            </w:r>
          </w:p>
          <w:p>
            <w:pPr>
              <w:spacing w:after="120" w:before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Community outreach with simple, ongoing distribution.</w:t>
            </w:r>
          </w:p>
          <w:p>
            <w:pPr>
              <w:spacing w:after="70" w:before="0" w:line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81A39"/>
                <w:sz w:val="16"/>
                <w:szCs w:val="16"/>
              </w:rPr>
              <w:t xml:space="preserve">INCLUDES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Care-card-only tier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Community outreach support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Ongoing care-card distribution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 low-friction way to begin the connection</w:t>
            </w:r>
          </w:p>
          <w:p>
            <w:pPr>
              <w:pBdr>
                <w:top w:val="single" w:color="D9D5DE" w:sz="5" w:space="3"/>
              </w:pBdr>
              <w:spacing w:after="0" w:before="65" w:line="185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C5862"/>
                <w:sz w:val="14"/>
                <w:szCs w:val="14"/>
              </w:rPr>
              <w:t xml:space="preserve">Designed for visibility and access without a monthly fee.</w:t>
            </w:r>
          </w:p>
        </w:tc>
        <w:tc>
          <w:tcPr>
            <w:tcW w:type="dxa" w:w="4946"/>
            <w:tcBorders>
              <w:top w:val="single" w:color="D9D5DE" w:sz="8"/>
              <w:left w:val="single" w:color="D9D5DE" w:sz="8"/>
              <w:bottom w:val="single" w:color="D9D5DE" w:sz="8"/>
              <w:right w:val="single" w:color="D9D5DE" w:sz="8"/>
            </w:tcBorders>
            <w:shd w:fill="FFFFFF" w:val="clear"/>
            <w:tcMar>
              <w:top w:type="dxa" w:w="0"/>
              <w:left w:type="dxa" w:w="170"/>
              <w:bottom w:type="dxa" w:w="150"/>
              <w:right w:type="dxa" w:w="170"/>
            </w:tcMar>
            <w:vAlign w:val="top"/>
          </w:tcPr>
          <w:tbl>
            <w:tblPr>
              <w:tblW w:type="dxa" w:w="45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6"/>
            </w:tblGrid>
            <w:tr>
              <w:trPr>
                <w:cantSplit/>
              </w:trPr>
              <w:tc>
                <w:tcPr>
                  <w:tcW w:type="dxa" w:w="45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00000" w:val="clear"/>
                  <w:tcMar>
                    <w:top w:type="dxa" w:w="90"/>
                    <w:left w:type="dxa" w:w="150"/>
                    <w:bottom w:type="dxa" w:w="90"/>
                    <w:right w:type="dxa" w:w="150"/>
                  </w:tcMar>
                  <w:vAlign w:val="top"/>
                </w:tcPr>
                <w:p>
                  <w:pPr>
                    <w:shd w:fill="000000" w:val="clear"/>
                    <w:spacing w:after="0" w:before="0" w:line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FFFFFF"/>
                      <w:sz w:val="15"/>
                      <w:szCs w:val="15"/>
                    </w:rPr>
                    <w:t xml:space="preserve">PARTNERSHIP TIER</w:t>
                  </w:r>
                </w:p>
              </w:tc>
            </w:tr>
          </w:tbl>
          <w:p>
            <w:pPr>
              <w:keepNext/>
              <w:spacing w:after="100" w:before="0" w:line="235"/>
            </w:pPr>
            <w:r>
              <w:rPr>
                <w:rFonts w:ascii="Avenir" w:cs="Avenir" w:eastAsia="Avenir" w:hAnsi="Avenir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 xml:space="preserve">REACH Digital Leads Partnership</w:t>
            </w:r>
          </w:p>
          <w:p>
            <w:pPr>
              <w:keepNext/>
              <w:spacing w:after="110" w:before="0" w:line="220"/>
            </w:pPr>
            <w:r>
              <w:rPr>
                <w:rFonts w:ascii="Avenir" w:cs="Avenir" w:eastAsia="Avenir" w:hAnsi="Avenir"/>
                <w:b/>
                <w:bCs/>
                <w:i w:val="false"/>
                <w:iCs w:val="false"/>
                <w:color w:val="DA1B1B"/>
                <w:sz w:val="38"/>
                <w:szCs w:val="38"/>
              </w:rPr>
              <w:t xml:space="preserve">$299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C5862"/>
                <w:sz w:val="17"/>
                <w:szCs w:val="17"/>
              </w:rPr>
              <w:t xml:space="preserve">/ mo</w:t>
            </w:r>
          </w:p>
          <w:p>
            <w:pPr>
              <w:spacing w:after="120" w:before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Digital access and lead visibility for the partner team.</w:t>
            </w:r>
          </w:p>
          <w:p>
            <w:pPr>
              <w:spacing w:after="70" w:before="0" w:line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81A39"/>
                <w:sz w:val="16"/>
                <w:szCs w:val="16"/>
              </w:rPr>
              <w:t xml:space="preserve">INCLUDES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Digital access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Care cards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Monthly email templates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Monthly newsletter templates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Lead scanning access</w:t>
            </w:r>
          </w:p>
          <w:p>
            <w:pPr>
              <w:pBdr>
                <w:top w:val="single" w:color="D9D5DE" w:sz="5" w:space="3"/>
              </w:pBdr>
              <w:spacing w:after="0" w:before="65" w:line="185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C5862"/>
                <w:sz w:val="14"/>
                <w:szCs w:val="14"/>
              </w:rPr>
              <w:t xml:space="preserve">A focused digital partnership for teams ready to track connection.</w:t>
            </w:r>
          </w:p>
        </w:tc>
        <w:tc>
          <w:tcPr>
            <w:tcW w:type="dxa" w:w="4946"/>
            <w:tcBorders>
              <w:top w:val="single" w:color="DA1B1B" w:sz="18"/>
              <w:left w:val="single" w:color="DA1B1B" w:sz="18"/>
              <w:bottom w:val="single" w:color="DA1B1B" w:sz="8"/>
              <w:right w:val="single" w:color="DA1B1B" w:sz="18"/>
            </w:tcBorders>
            <w:shd w:fill="FFFFFF" w:val="clear"/>
            <w:tcMar>
              <w:top w:type="dxa" w:w="0"/>
              <w:left w:type="dxa" w:w="170"/>
              <w:bottom w:type="dxa" w:w="150"/>
              <w:right w:type="dxa" w:w="170"/>
            </w:tcMar>
            <w:vAlign w:val="top"/>
          </w:tcPr>
          <w:tbl>
            <w:tblPr>
              <w:tblW w:type="dxa" w:w="45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6"/>
            </w:tblGrid>
            <w:tr>
              <w:trPr>
                <w:cantSplit/>
              </w:trPr>
              <w:tc>
                <w:tcPr>
                  <w:tcW w:type="dxa" w:w="45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DA1B1B" w:val="clear"/>
                  <w:tcMar>
                    <w:top w:type="dxa" w:w="90"/>
                    <w:left w:type="dxa" w:w="150"/>
                    <w:bottom w:type="dxa" w:w="90"/>
                    <w:right w:type="dxa" w:w="150"/>
                  </w:tcMar>
                  <w:vAlign w:val="top"/>
                </w:tcPr>
                <w:p>
                  <w:pPr>
                    <w:shd w:fill="DA1B1B" w:val="clear"/>
                    <w:spacing w:after="0" w:before="0" w:line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FFFFFF"/>
                      <w:sz w:val="15"/>
                      <w:szCs w:val="15"/>
                    </w:rPr>
                    <w:t xml:space="preserve">MOST COMPREHENSIVE</w:t>
                  </w:r>
                </w:p>
              </w:tc>
            </w:tr>
          </w:tbl>
          <w:p>
            <w:pPr>
              <w:keepNext/>
              <w:spacing w:after="100" w:before="0" w:line="235"/>
            </w:pPr>
            <w:r>
              <w:rPr>
                <w:rFonts w:ascii="Avenir" w:cs="Avenir" w:eastAsia="Avenir" w:hAnsi="Avenir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 xml:space="preserve">REACH Full Partnership</w:t>
            </w:r>
          </w:p>
          <w:p>
            <w:pPr>
              <w:keepNext/>
              <w:spacing w:after="110" w:before="0" w:line="220"/>
            </w:pPr>
            <w:r>
              <w:rPr>
                <w:rFonts w:ascii="Avenir" w:cs="Avenir" w:eastAsia="Avenir" w:hAnsi="Avenir"/>
                <w:b/>
                <w:bCs/>
                <w:i w:val="false"/>
                <w:iCs w:val="false"/>
                <w:color w:val="DA1B1B"/>
                <w:sz w:val="38"/>
                <w:szCs w:val="38"/>
              </w:rPr>
              <w:t xml:space="preserve">$899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C5862"/>
                <w:sz w:val="17"/>
                <w:szCs w:val="17"/>
              </w:rPr>
              <w:t xml:space="preserve">/ mo</w:t>
            </w:r>
          </w:p>
          <w:p>
            <w:pPr>
              <w:spacing w:after="120" w:before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The full aftercare suite, strategy support, and partner community.</w:t>
            </w:r>
          </w:p>
          <w:p>
            <w:pPr>
              <w:spacing w:after="70" w:before="0" w:line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A1B1B"/>
                <w:sz w:val="16"/>
                <w:szCs w:val="16"/>
              </w:rPr>
              <w:t xml:space="preserve">INCLUDES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Full aftercare suite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30 arrangement folder sheets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Digital Grief First Aid Guide for 13 days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1-week access to 3 support communities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Skills Lab access during the first week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300 care cards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Biweekly strategy support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Networking with other funeral director partners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 w:line="205"/>
              <w:ind w:left="300" w:hanging="21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Hero Status recognition</w:t>
            </w:r>
          </w:p>
          <w:p>
            <w:pPr>
              <w:pBdr>
                <w:top w:val="single" w:color="D9D5DE" w:sz="5" w:space="3"/>
              </w:pBdr>
              <w:spacing w:after="0" w:before="65" w:line="185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C5862"/>
                <w:sz w:val="14"/>
                <w:szCs w:val="14"/>
              </w:rPr>
              <w:t xml:space="preserve">Best fit for partners who want the complete REACH operating rhythm.</w:t>
            </w:r>
          </w:p>
        </w:tc>
      </w:tr>
    </w:tbl>
    <w:sectPr>
      <w:footerReference w:type="default" r:id="rId7"/>
      <w:pgSz w:w="15840" w:h="12240" w:orient="landscape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5DE" w:sz="6" w:space="3"/>
      </w:pBdr>
      <w:spacing w:after="0" w:before="0" w:line="160"/>
      <w:jc w:val="center"/>
    </w:pPr>
    <w:r>
      <w:rPr>
        <w:rFonts w:ascii="Arial" w:cs="Arial" w:eastAsia="Arial" w:hAnsi="Arial"/>
        <w:b/>
        <w:bCs/>
        <w:i w:val="false"/>
        <w:iCs w:val="false"/>
        <w:color w:val="DA1B1B"/>
        <w:sz w:val="12"/>
        <w:szCs w:val="12"/>
      </w:rPr>
      <w:t xml:space="preserve">PARTNER-READY WORKING SHEET</w:t>
    </w:r>
    <w:r>
      <w:rPr>
        <w:rFonts w:ascii="Arial" w:cs="Arial" w:eastAsia="Arial" w:hAnsi="Arial"/>
        <w:b w:val="false"/>
        <w:bCs w:val="false"/>
        <w:i w:val="false"/>
        <w:iCs w:val="false"/>
        <w:color w:val="5C5862"/>
        <w:sz w:val="12"/>
        <w:szCs w:val="12"/>
      </w:rPr>
      <w:t xml:space="preserve">    Pricing shown monthly. Final agreement, fulfillment, and disclosure language should be confirmed before enrollment.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1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cae90b17175fe83511583822087f88100459b3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REACH Partnership Pricing Sheet</dc:title>
  <dc:subject>REACH program tiers and pricing</dc:subject>
  <dc:creator>The Naked Grief</dc:creator>
  <dc:description>Editable REACH partnership pricing sheet for agreement and disclosure updates.</dc:description>
  <cp:lastModifiedBy>Un-named</cp:lastModifiedBy>
  <cp:revision>1</cp:revision>
  <dcterms:created xsi:type="dcterms:W3CDTF">2026-08-09T06:33:44.764Z</dcterms:created>
  <dcterms:modified xsi:type="dcterms:W3CDTF">2026-08-09T06:33:44.764Z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